
<file path=[Content_Types].xml><?xml version="1.0" encoding="utf-8"?>
<Types xmlns="http://schemas.openxmlformats.org/package/2006/content-types">
  <Default Extension="xml" ContentType="application/xml"/>
  <Default Extension="jpeg" ContentType="image/jpe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hint="eastAsia" w:ascii="黑体" w:hAnsi="黑体" w:eastAsia="黑体"/>
                <w:sz w:val="21"/>
                <w:szCs w:val="21"/>
              </w:rPr>
              <w:t>65.020.20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hint="eastAsia" w:ascii="黑体" w:hAnsi="黑体" w:eastAsia="黑体"/>
                <w:sz w:val="21"/>
                <w:szCs w:val="21"/>
              </w:rPr>
              <w:t>B5</w:t>
            </w:r>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0" w:name="_Hlk26473981"/>
            <w:r>
              <w:drawing>
                <wp:inline distT="0" distB="0" distL="0" distR="0">
                  <wp:extent cx="796290" cy="397510"/>
                  <wp:effectExtent l="0" t="0" r="3810" b="2540"/>
                  <wp:docPr id="3"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true"/>
                          </pic:cNvPicPr>
                        </pic:nvPicPr>
                        <pic:blipFill>
                          <a:blip r:embed="rId24" cstate="print">
                            <a:extLst>
                              <a:ext uri="{28A0092B-C50C-407E-A947-70E740481C1C}">
                                <a14:useLocalDpi xmlns:a14="http://schemas.microsoft.com/office/drawing/2010/main" val="false"/>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1" w:name="c1"/>
            <w:r>
              <w:instrText xml:space="preserve"> FORMTEXT </w:instrText>
            </w:r>
            <w:r>
              <w:fldChar w:fldCharType="separate"/>
            </w:r>
            <w:r>
              <w:rPr>
                <w:rFonts w:hint="eastAsia"/>
              </w:rPr>
              <w:t>14</w:t>
            </w:r>
            <w:r>
              <w:fldChar w:fldCharType="end"/>
            </w:r>
            <w:bookmarkEnd w:id="1"/>
          </w:p>
        </w:tc>
      </w:tr>
    </w:tbl>
    <w:p>
      <w:pPr>
        <w:pStyle w:val="50"/>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2"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山西省</w:t>
      </w:r>
      <w:r>
        <w:rPr>
          <w:rFonts w:ascii="黑体" w:eastAsia="黑体"/>
          <w:b w:val="0"/>
          <w:w w:val="100"/>
          <w:sz w:val="48"/>
        </w:rPr>
        <w:fldChar w:fldCharType="end"/>
      </w:r>
      <w:bookmarkEnd w:id="2"/>
      <w:r>
        <w:rPr>
          <w:rFonts w:hint="eastAsia" w:ascii="黑体" w:hAnsi="黑体" w:eastAsia="黑体"/>
          <w:b w:val="0"/>
          <w:bCs w:val="0"/>
          <w:w w:val="100"/>
          <w:sz w:val="48"/>
          <w:szCs w:val="48"/>
        </w:rPr>
        <w:t>地方标准</w:t>
      </w:r>
    </w:p>
    <w:bookmarkEnd w:id="0"/>
    <w:p>
      <w:pPr>
        <w:pStyle w:val="195"/>
        <w:framePr/>
        <w:rPr>
          <w:lang w:val="fr-FR"/>
        </w:rPr>
      </w:pPr>
      <w:r>
        <w:rPr>
          <w:lang w:val="fr-FR"/>
        </w:rPr>
        <w:t>DB</w:t>
      </w:r>
      <w:r>
        <w:fldChar w:fldCharType="begin">
          <w:ffData>
            <w:name w:val="文字1"/>
            <w:enabled/>
            <w:calcOnExit w:val="0"/>
            <w:textInput>
              <w:default w:val="XX/T"/>
            </w:textInput>
          </w:ffData>
        </w:fldChar>
      </w:r>
      <w:bookmarkStart w:id="3" w:name="文字1"/>
      <w:r>
        <w:rPr>
          <w:lang w:val="fr-FR"/>
        </w:rPr>
        <w:instrText xml:space="preserve"> FORMTEXT </w:instrText>
      </w:r>
      <w:r>
        <w:fldChar w:fldCharType="separate"/>
      </w:r>
      <w:r>
        <w:rPr>
          <w:rFonts w:hint="eastAsia"/>
        </w:rPr>
        <w:t>14</w:t>
      </w:r>
      <w:r>
        <w:rPr>
          <w:lang w:val="fr-FR"/>
        </w:rPr>
        <w:t>/T</w:t>
      </w:r>
      <w:r>
        <w:fldChar w:fldCharType="end"/>
      </w:r>
      <w:bookmarkEnd w:id="3"/>
      <w:r>
        <w:rPr>
          <w:rFonts w:hint="eastAsia"/>
        </w:rPr>
        <w:t xml:space="preserve"> </w:t>
      </w:r>
      <w:r>
        <w:fldChar w:fldCharType="begin">
          <w:ffData>
            <w:name w:val="NSTD_CODE_F"/>
            <w:enabled/>
            <w:calcOnExit w:val="0"/>
            <w:textInput>
              <w:default w:val="XXXX"/>
            </w:textInput>
          </w:ffData>
        </w:fldChar>
      </w:r>
      <w:bookmarkStart w:id="4" w:name="NSTD_CODE_F"/>
      <w:r>
        <w:rPr>
          <w:lang w:val="fr-FR"/>
        </w:rPr>
        <w:instrText xml:space="preserve"> FORMTEXT </w:instrText>
      </w:r>
      <w:r>
        <w:fldChar w:fldCharType="separate"/>
      </w:r>
      <w:r>
        <w:t>1554</w:t>
      </w:r>
      <w:r>
        <w:fldChar w:fldCharType="end"/>
      </w:r>
      <w:bookmarkEnd w:id="4"/>
      <w:r>
        <w:rPr>
          <w:rFonts w:hAnsi="黑体"/>
          <w:lang w:val="fr-FR"/>
        </w:rPr>
        <w:t>—</w:t>
      </w:r>
      <w:r>
        <w:fldChar w:fldCharType="begin">
          <w:ffData>
            <w:name w:val="NSTD_CODE_B"/>
            <w:enabled/>
            <w:calcOnExit w:val="0"/>
            <w:textInput>
              <w:default w:val="XXXX"/>
            </w:textInput>
          </w:ffData>
        </w:fldChar>
      </w:r>
      <w:bookmarkStart w:id="5" w:name="NSTD_CODE_B"/>
      <w:r>
        <w:rPr>
          <w:lang w:val="fr-FR"/>
        </w:rPr>
        <w:instrText xml:space="preserve"> FORMTEXT </w:instrText>
      </w:r>
      <w:r>
        <w:fldChar w:fldCharType="separate"/>
      </w:r>
      <w:r>
        <w:rPr>
          <w:rFonts w:hint="eastAsia"/>
        </w:rPr>
        <w:t>2024</w:t>
      </w:r>
      <w:r>
        <w:fldChar w:fldCharType="end"/>
      </w:r>
      <w:bookmarkEnd w:id="5"/>
    </w:p>
    <w:p>
      <w:pPr>
        <w:pStyle w:val="196"/>
        <w:framePr/>
        <w:rPr>
          <w:rFonts w:hAnsi="黑体"/>
        </w:rPr>
      </w:pPr>
      <w:bookmarkStart w:id="6" w:name="OSTD_CODE"/>
      <w:r>
        <w:rPr>
          <w:rFonts w:hAnsi="黑体"/>
        </w:rPr>
        <w:fldChar w:fldCharType="begin">
          <w:ffData>
            <w:name w:val="OSTD_CODE"/>
            <w:enabled/>
            <w:calcOnExit w:val="0"/>
            <w:textInput>
              <w:default w:val="代替DB14/T 1554—2018"/>
            </w:textInput>
          </w:ffData>
        </w:fldChar>
      </w:r>
      <w:r>
        <w:rPr>
          <w:rFonts w:hAnsi="黑体"/>
        </w:rPr>
        <w:instrText xml:space="preserve"> FORMTEXT </w:instrText>
      </w:r>
      <w:r>
        <w:rPr>
          <w:rFonts w:hAnsi="黑体"/>
        </w:rPr>
        <w:fldChar w:fldCharType="separate"/>
      </w:r>
      <w:r>
        <w:rPr>
          <w:rFonts w:hAnsi="黑体"/>
        </w:rPr>
        <w:t>代替DB14/T 1554—2018</w:t>
      </w:r>
      <w:r>
        <w:rPr>
          <w:rFonts w:hAnsi="黑体"/>
        </w:rPr>
        <w:fldChar w:fldCharType="end"/>
      </w:r>
      <w:bookmarkEnd w:id="6"/>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Ang0mW2AAAAAwB&#10;AAAPAAAAAAAAAAEAIAAAADgAAABkcnMvZG93bnJldi54bWxQSwECFAAUAAAACACHTuJASfTgWswB&#10;AABhAwAADgAAAAAAAAABACAAAAA9AQAAZHJzL2Uyb0RvYy54bWxQSwUGAAAAAAYABgBZAQAAewUA&#10;AAAA&#10;">
                <v:fill on="f" focussize="0,0"/>
                <v:stroke color="#000000" joinstyle="round"/>
                <v:imagedata o:title=""/>
                <o:lock v:ext="edit" aspectratio="f"/>
              </v:line>
            </w:pict>
          </mc:Fallback>
        </mc:AlternateContent>
      </w:r>
    </w:p>
    <w:p>
      <w:pPr>
        <w:pStyle w:val="50"/>
        <w:framePr w:w="9639" w:h="6976" w:hRule="exact" w:hSpace="0" w:vSpace="0" w:hAnchor="page" w:y="6408"/>
        <w:jc w:val="center"/>
        <w:rPr>
          <w:rFonts w:ascii="黑体" w:hAnsi="黑体" w:eastAsia="黑体"/>
          <w:b w:val="0"/>
          <w:bCs w:val="0"/>
          <w:w w:val="100"/>
        </w:rPr>
      </w:pPr>
    </w:p>
    <w:p>
      <w:pPr>
        <w:pStyle w:val="197"/>
        <w:framePr w:h="6974" w:hRule="exact" w:wrap="around" w:x="1419" w:anchorLock="1"/>
      </w:pPr>
      <w:bookmarkStart w:id="7" w:name="CSTD_NAME"/>
      <w:r>
        <w:fldChar w:fldCharType="begin">
          <w:ffData>
            <w:name w:val="CSTD_NAME"/>
            <w:enabled/>
            <w:calcOnExit w:val="0"/>
            <w:textInput>
              <w:default w:val="日光温室草莓固碳生产技术规程"/>
            </w:textInput>
          </w:ffData>
        </w:fldChar>
      </w:r>
      <w:r>
        <w:instrText xml:space="preserve"> FORMTEXT </w:instrText>
      </w:r>
      <w:r>
        <w:fldChar w:fldCharType="separate"/>
      </w:r>
      <w:r>
        <w:t>日光温室草莓固碳生产技术规程</w:t>
      </w:r>
      <w:r>
        <w:fldChar w:fldCharType="end"/>
      </w:r>
      <w:bookmarkEnd w:id="7"/>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8"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点击此处添加标准名称的英文译名</w:t>
      </w:r>
      <w:r>
        <w:rPr>
          <w:rFonts w:ascii="黑体" w:hAnsi="黑体" w:eastAsia="黑体"/>
          <w:szCs w:val="28"/>
        </w:rPr>
        <w:fldChar w:fldCharType="end"/>
      </w:r>
      <w:bookmarkEnd w:id="8"/>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fldChar w:fldCharType="separate"/>
      </w:r>
      <w:r>
        <w:rPr>
          <w:sz w:val="24"/>
          <w:szCs w:val="28"/>
        </w:rPr>
        <w:fldChar w:fldCharType="end"/>
      </w:r>
      <w:bookmarkEnd w:id="9"/>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0"/>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fldChar w:fldCharType="separate"/>
      </w:r>
      <w:r>
        <w:rPr>
          <w:b/>
          <w:sz w:val="21"/>
          <w:szCs w:val="28"/>
        </w:rPr>
        <w:fldChar w:fldCharType="end"/>
      </w:r>
      <w:bookmarkEnd w:id="11"/>
    </w:p>
    <w:p>
      <w:pPr>
        <w:pStyle w:val="193"/>
        <w:framePr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pPr>
        <w:pStyle w:val="194"/>
        <w:framePr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pPr>
        <w:pStyle w:val="151"/>
        <w:framePr w:h="584" w:hRule="exact" w:hSpace="181" w:vSpace="181" w:y="15027"/>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山西省市场监督管理局</w:t>
      </w:r>
      <w:r>
        <w:rPr>
          <w:rFonts w:hAnsi="黑体"/>
          <w:w w:val="100"/>
          <w:sz w:val="28"/>
        </w:rPr>
        <w:fldChar w:fldCharType="end"/>
      </w:r>
      <w:bookmarkEnd w:id="18"/>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3360"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3360;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WAAAAZHJzL1BLAQIUABQAAAAIAIdO4kCrMxz71wAAAA4BAAAP&#10;AAAAAAAAAAEAIAAAADgAAABkcnMvZG93bnJldi54bWxQSwECFAAUAAAACACHTuJAEc9x0soBAABf&#10;AwAADgAAAAAAAAABACAAAAA8AQAAZHJzL2Uyb0RvYy54bWxQSwUGAAAAAAYABgBZAQAAeAUAAAAA&#10;">
                <v:fill on="f" focussize="0,0"/>
                <v:stroke color="#000000" joinstyle="round"/>
                <v:imagedata o:title=""/>
                <o:lock v:ext="edit" aspectratio="f"/>
                <w10:anchorlock/>
              </v:line>
            </w:pict>
          </mc:Fallback>
        </mc:AlternateContent>
      </w:r>
    </w:p>
    <w:p>
      <w:pPr>
        <w:pStyle w:val="91"/>
        <w:spacing w:after="468"/>
      </w:pPr>
      <w:bookmarkStart w:id="19" w:name="BookMark1"/>
      <w:bookmarkStart w:id="20" w:name="_Toc172368997"/>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rPr>
      </w:pPr>
      <w:r>
        <w:fldChar w:fldCharType="begin"/>
      </w:r>
      <w:r>
        <w:instrText xml:space="preserve"> TOC \o "1-1" \h </w:instrText>
      </w:r>
      <w:r>
        <w:fldChar w:fldCharType="separate"/>
      </w:r>
      <w:r>
        <w:fldChar w:fldCharType="begin"/>
      </w:r>
      <w:r>
        <w:instrText xml:space="preserve"> HYPERLINK \l "_Toc172369023" </w:instrText>
      </w:r>
      <w:r>
        <w:fldChar w:fldCharType="separate"/>
      </w:r>
      <w:r>
        <w:rPr>
          <w:rStyle w:val="32"/>
          <w:rFonts w:hint="eastAsia"/>
        </w:rPr>
        <w:t>前言</w:t>
      </w:r>
      <w:r>
        <w:tab/>
      </w:r>
      <w:r>
        <w:fldChar w:fldCharType="begin"/>
      </w:r>
      <w:r>
        <w:instrText xml:space="preserve"> PAGEREF _Toc172369023 \h </w:instrText>
      </w:r>
      <w:r>
        <w:fldChar w:fldCharType="separate"/>
      </w:r>
      <w:r>
        <w:t>II</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"_Toc172369024" </w:instrText>
      </w:r>
      <w:r>
        <w:fldChar w:fldCharType="separate"/>
      </w:r>
      <w:r>
        <w:rPr>
          <w:rStyle w:val="32"/>
        </w:rPr>
        <w:t xml:space="preserve">1 </w:t>
      </w:r>
      <w:r>
        <w:rPr>
          <w:rStyle w:val="32"/>
          <w:rFonts w:hint="eastAsia"/>
        </w:rPr>
        <w:t xml:space="preserve"> 范围</w:t>
      </w:r>
      <w:r>
        <w:tab/>
      </w:r>
      <w:r>
        <w:fldChar w:fldCharType="begin"/>
      </w:r>
      <w:r>
        <w:instrText xml:space="preserve"> PAGEREF _Toc172369024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"_Toc172369025" </w:instrText>
      </w:r>
      <w:r>
        <w:fldChar w:fldCharType="separate"/>
      </w:r>
      <w:r>
        <w:rPr>
          <w:rStyle w:val="32"/>
        </w:rPr>
        <w:t xml:space="preserve">2 </w:t>
      </w:r>
      <w:r>
        <w:rPr>
          <w:rStyle w:val="32"/>
          <w:rFonts w:hint="eastAsia"/>
        </w:rPr>
        <w:t xml:space="preserve"> 规范性引用文件</w:t>
      </w:r>
      <w:r>
        <w:tab/>
      </w:r>
      <w:r>
        <w:fldChar w:fldCharType="begin"/>
      </w:r>
      <w:r>
        <w:instrText xml:space="preserve"> PAGEREF _Toc172369025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"_Toc172369026" </w:instrText>
      </w:r>
      <w:r>
        <w:fldChar w:fldCharType="separate"/>
      </w:r>
      <w:r>
        <w:rPr>
          <w:rStyle w:val="32"/>
        </w:rPr>
        <w:t xml:space="preserve">3 </w:t>
      </w:r>
      <w:r>
        <w:rPr>
          <w:rStyle w:val="32"/>
          <w:rFonts w:hint="eastAsia"/>
        </w:rPr>
        <w:t xml:space="preserve"> 术语和定义</w:t>
      </w:r>
      <w:r>
        <w:tab/>
      </w:r>
      <w:r>
        <w:fldChar w:fldCharType="begin"/>
      </w:r>
      <w:r>
        <w:instrText xml:space="preserve"> PAGEREF _Toc172369026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"_Toc172369027" </w:instrText>
      </w:r>
      <w:r>
        <w:fldChar w:fldCharType="separate"/>
      </w:r>
      <w:r>
        <w:rPr>
          <w:rStyle w:val="32"/>
        </w:rPr>
        <w:t xml:space="preserve">4 </w:t>
      </w:r>
      <w:r>
        <w:rPr>
          <w:rStyle w:val="32"/>
          <w:rFonts w:hint="eastAsia"/>
        </w:rPr>
        <w:t xml:space="preserve"> 温室结构与性能</w:t>
      </w:r>
      <w:r>
        <w:tab/>
      </w:r>
      <w:r>
        <w:fldChar w:fldCharType="begin"/>
      </w:r>
      <w:r>
        <w:instrText xml:space="preserve"> PAGEREF _Toc172369027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"_Toc172369028" </w:instrText>
      </w:r>
      <w:r>
        <w:fldChar w:fldCharType="separate"/>
      </w:r>
      <w:r>
        <w:rPr>
          <w:rStyle w:val="32"/>
        </w:rPr>
        <w:t xml:space="preserve">5 </w:t>
      </w:r>
      <w:r>
        <w:rPr>
          <w:rStyle w:val="32"/>
          <w:rFonts w:hint="eastAsia"/>
        </w:rPr>
        <w:t xml:space="preserve"> 种苗</w:t>
      </w:r>
      <w:r>
        <w:tab/>
      </w:r>
      <w:r>
        <w:fldChar w:fldCharType="begin"/>
      </w:r>
      <w:r>
        <w:instrText xml:space="preserve"> PAGEREF _Toc172369028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"_Toc172369029" </w:instrText>
      </w:r>
      <w:r>
        <w:fldChar w:fldCharType="separate"/>
      </w:r>
      <w:r>
        <w:rPr>
          <w:rStyle w:val="32"/>
        </w:rPr>
        <w:t xml:space="preserve">6 </w:t>
      </w:r>
      <w:r>
        <w:rPr>
          <w:rStyle w:val="32"/>
          <w:rFonts w:hint="eastAsia"/>
        </w:rPr>
        <w:t xml:space="preserve"> 整地施肥</w:t>
      </w:r>
      <w:r>
        <w:tab/>
      </w:r>
      <w:r>
        <w:fldChar w:fldCharType="begin"/>
      </w:r>
      <w:r>
        <w:instrText xml:space="preserve"> PAGEREF _Toc172369029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"_Toc172369030" </w:instrText>
      </w:r>
      <w:r>
        <w:fldChar w:fldCharType="separate"/>
      </w:r>
      <w:r>
        <w:rPr>
          <w:rStyle w:val="32"/>
        </w:rPr>
        <w:t xml:space="preserve">7 </w:t>
      </w:r>
      <w:r>
        <w:rPr>
          <w:rStyle w:val="32"/>
          <w:rFonts w:hint="eastAsia"/>
        </w:rPr>
        <w:t xml:space="preserve"> 定植</w:t>
      </w:r>
      <w:r>
        <w:tab/>
      </w:r>
      <w:r>
        <w:fldChar w:fldCharType="begin"/>
      </w:r>
      <w:r>
        <w:instrText xml:space="preserve"> PAGEREF _Toc172369030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"_Toc172369031" </w:instrText>
      </w:r>
      <w:r>
        <w:fldChar w:fldCharType="separate"/>
      </w:r>
      <w:r>
        <w:rPr>
          <w:rStyle w:val="32"/>
        </w:rPr>
        <w:t xml:space="preserve">8 </w:t>
      </w:r>
      <w:r>
        <w:rPr>
          <w:rStyle w:val="32"/>
          <w:rFonts w:hint="eastAsia"/>
        </w:rPr>
        <w:t xml:space="preserve"> 田间管理</w:t>
      </w:r>
      <w:r>
        <w:tab/>
      </w:r>
      <w:r>
        <w:fldChar w:fldCharType="begin"/>
      </w:r>
      <w:r>
        <w:instrText xml:space="preserve"> PAGEREF _Toc172369031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"_Toc172369032" </w:instrText>
      </w:r>
      <w:r>
        <w:fldChar w:fldCharType="separate"/>
      </w:r>
      <w:r>
        <w:rPr>
          <w:rStyle w:val="32"/>
        </w:rPr>
        <w:t xml:space="preserve">9 </w:t>
      </w:r>
      <w:r>
        <w:rPr>
          <w:rStyle w:val="32"/>
          <w:rFonts w:hint="eastAsia"/>
        </w:rPr>
        <w:t xml:space="preserve"> 二氧化碳施肥</w:t>
      </w:r>
      <w:r>
        <w:tab/>
      </w:r>
      <w:r>
        <w:fldChar w:fldCharType="begin"/>
      </w:r>
      <w:r>
        <w:instrText xml:space="preserve"> PAGEREF _Toc172369032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"_Toc172369033" </w:instrText>
      </w:r>
      <w:r>
        <w:fldChar w:fldCharType="separate"/>
      </w:r>
      <w:r>
        <w:rPr>
          <w:rStyle w:val="32"/>
        </w:rPr>
        <w:t xml:space="preserve">10 </w:t>
      </w:r>
      <w:r>
        <w:rPr>
          <w:rStyle w:val="32"/>
          <w:rFonts w:hint="eastAsia"/>
        </w:rPr>
        <w:t xml:space="preserve"> 病虫害防治</w:t>
      </w:r>
      <w:r>
        <w:tab/>
      </w:r>
      <w:r>
        <w:fldChar w:fldCharType="begin"/>
      </w:r>
      <w:r>
        <w:instrText xml:space="preserve"> PAGEREF _Toc172369033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"_Toc172369034" </w:instrText>
      </w:r>
      <w:r>
        <w:fldChar w:fldCharType="separate"/>
      </w:r>
      <w:r>
        <w:rPr>
          <w:rStyle w:val="32"/>
        </w:rPr>
        <w:t xml:space="preserve">11 </w:t>
      </w:r>
      <w:r>
        <w:rPr>
          <w:rStyle w:val="32"/>
          <w:rFonts w:hint="eastAsia"/>
        </w:rPr>
        <w:t xml:space="preserve"> 采收</w:t>
      </w:r>
      <w:r>
        <w:tab/>
      </w:r>
      <w:r>
        <w:fldChar w:fldCharType="begin"/>
      </w:r>
      <w:r>
        <w:instrText xml:space="preserve"> PAGEREF _Toc172369034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"_Toc172369035" </w:instrText>
      </w:r>
      <w:r>
        <w:fldChar w:fldCharType="separate"/>
      </w:r>
      <w:r>
        <w:rPr>
          <w:rStyle w:val="32"/>
        </w:rPr>
        <w:t xml:space="preserve">12 </w:t>
      </w:r>
      <w:r>
        <w:rPr>
          <w:rStyle w:val="32"/>
          <w:rFonts w:hint="eastAsia"/>
        </w:rPr>
        <w:t xml:space="preserve"> 生产档案</w:t>
      </w:r>
      <w:r>
        <w:tab/>
      </w:r>
      <w:r>
        <w:fldChar w:fldCharType="begin"/>
      </w:r>
      <w:r>
        <w:instrText xml:space="preserve"> PAGEREF _Toc172369035 \h </w:instrText>
      </w:r>
      <w:r>
        <w:fldChar w:fldCharType="separate"/>
      </w:r>
      <w:r>
        <w:t>3</w:t>
      </w:r>
      <w:r>
        <w:fldChar w:fldCharType="end"/>
      </w:r>
      <w:r>
        <w:fldChar w:fldCharType="end"/>
      </w:r>
    </w:p>
    <w:p>
      <w:pPr>
        <w:pStyle w:val="91"/>
        <w:spacing w:after="468"/>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19"/>
    <w:p>
      <w:pPr>
        <w:pStyle w:val="89"/>
        <w:spacing w:before="900" w:after="468"/>
      </w:pPr>
      <w:bookmarkStart w:id="21" w:name="_Toc172369023"/>
      <w:bookmarkStart w:id="22" w:name="BookMark2"/>
      <w:r>
        <w:rPr>
          <w:spacing w:val="320"/>
        </w:rPr>
        <w:t>前</w:t>
      </w:r>
      <w:r>
        <w:t>言</w:t>
      </w:r>
      <w:bookmarkEnd w:id="20"/>
      <w:bookmarkEnd w:id="21"/>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本文件代替DB14/T 1554—2018《日光温室草莓高效固碳生产技术规程》，与DB14/T 1554—2018相比，除结构调整和编辑性改动外，主要技术变化如下：</w:t>
      </w:r>
    </w:p>
    <w:p>
      <w:pPr>
        <w:pStyle w:val="56"/>
        <w:ind w:firstLine="420"/>
      </w:pPr>
      <w:r>
        <w:rPr>
          <w:rFonts w:hint="eastAsia"/>
        </w:rPr>
        <w:t>——更改了题目（见题目）</w:t>
      </w:r>
    </w:p>
    <w:p>
      <w:pPr>
        <w:pStyle w:val="56"/>
        <w:ind w:firstLine="420"/>
      </w:pPr>
      <w:r>
        <w:rPr>
          <w:rFonts w:hint="eastAsia"/>
        </w:rPr>
        <w:t>——增加了修订内容的介绍（见前言）</w:t>
      </w:r>
    </w:p>
    <w:p>
      <w:pPr>
        <w:pStyle w:val="56"/>
        <w:ind w:firstLine="420"/>
      </w:pPr>
      <w:r>
        <w:rPr>
          <w:rFonts w:hint="eastAsia"/>
        </w:rPr>
        <w:t>——起草人加上了在生产上具有一线工作经验的卫旭阳博士（见前言）</w:t>
      </w:r>
    </w:p>
    <w:p>
      <w:pPr>
        <w:pStyle w:val="56"/>
        <w:ind w:firstLine="420"/>
      </w:pPr>
      <w:r>
        <w:rPr>
          <w:rFonts w:hint="eastAsia"/>
        </w:rPr>
        <w:t>——删掉了高效固碳生产术语（见3 术语和定义）</w:t>
      </w:r>
    </w:p>
    <w:p>
      <w:pPr>
        <w:pStyle w:val="56"/>
        <w:ind w:firstLine="420"/>
      </w:pPr>
      <w:r>
        <w:rPr>
          <w:rFonts w:hint="eastAsia"/>
        </w:rPr>
        <w:t>——删掉了温室结构与性能的详细指标描述（见4 温室结构和性能）</w:t>
      </w:r>
    </w:p>
    <w:p>
      <w:pPr>
        <w:pStyle w:val="56"/>
        <w:ind w:firstLine="420"/>
      </w:pPr>
      <w:r>
        <w:rPr>
          <w:rFonts w:hint="eastAsia"/>
        </w:rPr>
        <w:t>——增加了种苗的描述内容（见5.2 壮苗标准）</w:t>
      </w:r>
    </w:p>
    <w:p>
      <w:pPr>
        <w:pStyle w:val="56"/>
        <w:ind w:firstLine="420"/>
      </w:pPr>
      <w:r>
        <w:rPr>
          <w:rFonts w:hint="eastAsia"/>
        </w:rPr>
        <w:t>——增加了定植后的水分管理（见7.3 定植方法）</w:t>
      </w:r>
    </w:p>
    <w:p>
      <w:pPr>
        <w:pStyle w:val="56"/>
        <w:ind w:firstLine="420"/>
      </w:pPr>
      <w:r>
        <w:rPr>
          <w:rFonts w:hint="eastAsia"/>
        </w:rPr>
        <w:t>——增加了温度管理的具体指标（见8.1 温度管理）</w:t>
      </w:r>
    </w:p>
    <w:p>
      <w:pPr>
        <w:pStyle w:val="56"/>
        <w:ind w:firstLine="420"/>
      </w:pPr>
      <w:r>
        <w:rPr>
          <w:rFonts w:hint="eastAsia"/>
        </w:rPr>
        <w:t>——增加并细化了施肥的具体方法（见8.4 水肥管理）</w:t>
      </w:r>
    </w:p>
    <w:p>
      <w:pPr>
        <w:pStyle w:val="56"/>
        <w:ind w:firstLine="420"/>
      </w:pPr>
      <w:r>
        <w:rPr>
          <w:rFonts w:hint="eastAsia"/>
        </w:rPr>
        <w:t>——增加了疏花疏果的具体细则（见8.5.1 疏花疏果）</w:t>
      </w:r>
    </w:p>
    <w:p>
      <w:pPr>
        <w:pStyle w:val="56"/>
        <w:ind w:firstLine="420"/>
      </w:pPr>
      <w:r>
        <w:rPr>
          <w:rFonts w:hint="eastAsia"/>
        </w:rPr>
        <w:t>——降低了CO</w:t>
      </w:r>
      <w:r>
        <w:rPr>
          <w:rFonts w:hint="eastAsia"/>
          <w:vertAlign w:val="subscript"/>
        </w:rPr>
        <w:t>2</w:t>
      </w:r>
      <w:r>
        <w:rPr>
          <w:rFonts w:hint="eastAsia"/>
        </w:rPr>
        <w:t>的使用浓度（见9.1 施肥浓度）</w:t>
      </w:r>
    </w:p>
    <w:p>
      <w:pPr>
        <w:pStyle w:val="56"/>
        <w:ind w:firstLine="420"/>
      </w:pPr>
      <w:r>
        <w:rPr>
          <w:rFonts w:hint="eastAsia"/>
        </w:rPr>
        <w:t>本文件由山西省农业农村厅提出、组织实施和监督检查。</w:t>
      </w:r>
    </w:p>
    <w:p>
      <w:pPr>
        <w:pStyle w:val="56"/>
        <w:ind w:firstLine="420"/>
      </w:pPr>
      <w:r>
        <w:rPr>
          <w:rFonts w:hint="eastAsia"/>
        </w:rPr>
        <w:t>本文件由山西省市场监督管理局对标准的组织实施情况进行监督检查。</w:t>
      </w:r>
    </w:p>
    <w:p>
      <w:pPr>
        <w:pStyle w:val="56"/>
        <w:ind w:firstLine="420"/>
      </w:pPr>
      <w:r>
        <w:rPr>
          <w:rFonts w:hint="eastAsia"/>
        </w:rPr>
        <w:t>本文件由山西省农业标准化技术委员会（SXS/TC19）归口。</w:t>
      </w:r>
    </w:p>
    <w:p>
      <w:pPr>
        <w:pStyle w:val="56"/>
        <w:ind w:firstLine="420"/>
      </w:pPr>
      <w:r>
        <w:rPr>
          <w:rFonts w:hint="eastAsia"/>
        </w:rPr>
        <w:t>本文件起草单位：山西农业大学园艺学院。</w:t>
      </w:r>
    </w:p>
    <w:p>
      <w:pPr>
        <w:pStyle w:val="56"/>
        <w:ind w:firstLine="420"/>
      </w:pPr>
      <w:r>
        <w:rPr>
          <w:rFonts w:hint="eastAsia"/>
        </w:rPr>
        <w:t>本文件主要起草人：李梅兰、卫旭阳、赵静、王慧兰、宋红霞、张静、郑少文、许小勇、侯雷平、邢国明。</w:t>
      </w:r>
    </w:p>
    <w:p>
      <w:pPr>
        <w:pStyle w:val="56"/>
        <w:ind w:firstLine="420"/>
      </w:pPr>
      <w:r>
        <w:rPr>
          <w:rFonts w:hint="eastAsia"/>
        </w:rPr>
        <w:t>本文件及其所代替文件的历次版本发布情况为：</w:t>
      </w:r>
    </w:p>
    <w:p>
      <w:pPr>
        <w:pStyle w:val="56"/>
        <w:ind w:firstLine="420"/>
      </w:pPr>
      <w:r>
        <w:rPr>
          <w:rFonts w:hint="eastAsia"/>
        </w:rPr>
        <w:t>——2018年首次发布为DB14/T 1554—2018；</w:t>
      </w:r>
    </w:p>
    <w:p>
      <w:pPr>
        <w:pStyle w:val="56"/>
        <w:ind w:firstLine="420"/>
      </w:pPr>
      <w:r>
        <w:rPr>
          <w:rFonts w:hint="eastAsia"/>
        </w:rPr>
        <w:t>——本次为第一次修订。</w:t>
      </w:r>
    </w:p>
    <w:p>
      <w:pPr>
        <w:pStyle w:val="56"/>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type="lines" w:linePitch="312" w:charSpace="0"/>
        </w:sectPr>
      </w:pPr>
    </w:p>
    <w:bookmarkEnd w:id="22"/>
    <w:p>
      <w:pPr>
        <w:spacing w:line="20" w:lineRule="exact"/>
        <w:jc w:val="center"/>
        <w:rPr>
          <w:rFonts w:ascii="黑体" w:hAnsi="黑体" w:eastAsia="黑体"/>
          <w:sz w:val="32"/>
          <w:szCs w:val="32"/>
        </w:rPr>
      </w:pPr>
      <w:bookmarkStart w:id="23" w:name="BookMark4"/>
    </w:p>
    <w:p>
      <w:pPr>
        <w:spacing w:line="20" w:lineRule="exact"/>
        <w:jc w:val="center"/>
        <w:rPr>
          <w:rFonts w:ascii="黑体" w:hAnsi="黑体" w:eastAsia="黑体"/>
          <w:sz w:val="32"/>
          <w:szCs w:val="32"/>
        </w:rPr>
      </w:pPr>
    </w:p>
    <w:sdt>
      <w:sdtPr>
        <w:tag w:val="NEW_STAND_NAME"/>
        <w:id w:val="595910757"/>
        <w:lock w:val="sdtLocked"/>
        <w:placeholder>
          <w:docPart w:val="C26F58ED180D4E31877AE923D895B08F"/>
        </w:placeholder>
      </w:sdtPr>
      <w:sdtContent>
        <w:p>
          <w:pPr>
            <w:pStyle w:val="177"/>
            <w:spacing w:before="3" w:beforeLines="1" w:after="686" w:afterLines="220"/>
          </w:pPr>
          <w:bookmarkStart w:id="24" w:name="NEW_STAND_NAME"/>
          <w:r>
            <w:rPr>
              <w:rFonts w:hint="eastAsia"/>
            </w:rPr>
            <w:t>日光温室草莓固碳生产技术规程</w:t>
          </w:r>
        </w:p>
      </w:sdtContent>
    </w:sdt>
    <w:bookmarkEnd w:id="24"/>
    <w:p>
      <w:pPr>
        <w:pStyle w:val="104"/>
        <w:spacing w:before="312" w:after="312"/>
      </w:pPr>
      <w:bookmarkStart w:id="25" w:name="_Toc24884211"/>
      <w:bookmarkStart w:id="26" w:name="_Toc26718930"/>
      <w:bookmarkStart w:id="27" w:name="_Toc17233325"/>
      <w:bookmarkStart w:id="28" w:name="_Toc17233333"/>
      <w:bookmarkStart w:id="29" w:name="_Toc97191423"/>
      <w:bookmarkStart w:id="30" w:name="_Toc26648465"/>
      <w:bookmarkStart w:id="31" w:name="_Toc26986530"/>
      <w:bookmarkStart w:id="32" w:name="_Toc26986771"/>
      <w:bookmarkStart w:id="33" w:name="_Toc24884218"/>
      <w:bookmarkStart w:id="34" w:name="_Toc172368998"/>
      <w:bookmarkStart w:id="35" w:name="_Toc172369024"/>
      <w:r>
        <w:rPr>
          <w:rFonts w:hint="eastAsia"/>
        </w:rPr>
        <w:t>范围</w:t>
      </w:r>
      <w:bookmarkEnd w:id="25"/>
      <w:bookmarkEnd w:id="26"/>
      <w:bookmarkEnd w:id="27"/>
      <w:bookmarkEnd w:id="28"/>
      <w:bookmarkEnd w:id="29"/>
      <w:bookmarkEnd w:id="30"/>
      <w:bookmarkEnd w:id="31"/>
      <w:bookmarkEnd w:id="32"/>
      <w:bookmarkEnd w:id="33"/>
      <w:bookmarkEnd w:id="34"/>
      <w:bookmarkEnd w:id="35"/>
    </w:p>
    <w:p>
      <w:pPr>
        <w:pStyle w:val="56"/>
        <w:ind w:firstLine="420"/>
      </w:pPr>
      <w:bookmarkStart w:id="36" w:name="_Toc17233334"/>
      <w:bookmarkStart w:id="37" w:name="_Toc26648466"/>
      <w:bookmarkStart w:id="38" w:name="_Toc24884212"/>
      <w:bookmarkStart w:id="39" w:name="_Toc17233326"/>
      <w:bookmarkStart w:id="40" w:name="_Toc24884219"/>
      <w:r>
        <w:rPr>
          <w:rFonts w:hint="eastAsia"/>
        </w:rPr>
        <w:t>本标准规定了日光温室的温室结构与性能、种苗、整地施肥、定植、田间管理、二氧化碳施肥、病虫害防治、采收和生产档案的内容。</w:t>
      </w:r>
    </w:p>
    <w:p>
      <w:pPr>
        <w:pStyle w:val="56"/>
        <w:ind w:firstLine="420"/>
      </w:pPr>
      <w:r>
        <w:rPr>
          <w:rFonts w:hint="eastAsia"/>
        </w:rPr>
        <w:t>本标准适用于日光温室草莓固碳生产。</w:t>
      </w:r>
    </w:p>
    <w:p>
      <w:pPr>
        <w:pStyle w:val="104"/>
        <w:spacing w:before="312" w:after="312"/>
      </w:pPr>
      <w:bookmarkStart w:id="41" w:name="_Toc26718931"/>
      <w:bookmarkStart w:id="42" w:name="_Toc26986531"/>
      <w:bookmarkStart w:id="43" w:name="_Toc172369025"/>
      <w:bookmarkStart w:id="44" w:name="_Toc26986772"/>
      <w:bookmarkStart w:id="45" w:name="_Toc172368999"/>
      <w:bookmarkStart w:id="46" w:name="_Toc97191424"/>
      <w:r>
        <w:rPr>
          <w:rFonts w:hint="eastAsia"/>
        </w:rPr>
        <w:t>规范性引用文件</w:t>
      </w:r>
      <w:bookmarkEnd w:id="36"/>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D9E36AFA1AF1448BBEFBFD0CF10D9F9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eastAsia"/>
        </w:rPr>
        <w:t>GB/T 17187   农业灌溉设备 滴头和滴灌管 技术规范和试验方法</w:t>
      </w:r>
    </w:p>
    <w:p>
      <w:pPr>
        <w:pStyle w:val="56"/>
        <w:ind w:firstLine="420"/>
      </w:pPr>
      <w:r>
        <w:rPr>
          <w:rFonts w:hint="eastAsia"/>
        </w:rPr>
        <w:t>GB/Z 26575   草莓生产技术规范</w:t>
      </w:r>
    </w:p>
    <w:p>
      <w:pPr>
        <w:pStyle w:val="56"/>
        <w:ind w:firstLine="420"/>
      </w:pPr>
      <w:r>
        <w:rPr>
          <w:rFonts w:hint="eastAsia"/>
        </w:rPr>
        <w:t>JB/T 10594   日光温室和塑料大棚结构与性能要求</w:t>
      </w:r>
    </w:p>
    <w:p>
      <w:pPr>
        <w:pStyle w:val="56"/>
        <w:ind w:firstLine="420"/>
      </w:pPr>
      <w:r>
        <w:rPr>
          <w:rFonts w:hint="eastAsia"/>
        </w:rPr>
        <w:t>DB14/T 1287  设施蔬菜固碳生产技术规程  日光温室结构与性能</w:t>
      </w:r>
    </w:p>
    <w:p>
      <w:pPr>
        <w:pStyle w:val="56"/>
        <w:ind w:firstLine="420"/>
      </w:pPr>
      <w:r>
        <w:rPr>
          <w:rFonts w:hint="eastAsia"/>
        </w:rPr>
        <w:t>DB14/T 1288  设施蔬菜二氧化碳施肥技术规程</w:t>
      </w:r>
    </w:p>
    <w:p>
      <w:pPr>
        <w:pStyle w:val="104"/>
        <w:spacing w:before="312" w:after="312"/>
      </w:pPr>
      <w:bookmarkStart w:id="47" w:name="_Toc97191425"/>
      <w:bookmarkStart w:id="48" w:name="_Toc172369000"/>
      <w:bookmarkStart w:id="49" w:name="_Toc172369026"/>
      <w:r>
        <w:rPr>
          <w:rFonts w:hint="eastAsia"/>
          <w:szCs w:val="21"/>
        </w:rPr>
        <w:t>术语和定义</w:t>
      </w:r>
      <w:bookmarkEnd w:id="47"/>
      <w:bookmarkEnd w:id="48"/>
      <w:bookmarkEnd w:id="49"/>
    </w:p>
    <w:sdt>
      <w:sdtPr>
        <w:id w:val="-1909835108"/>
        <w:placeholder>
          <w:docPart w:val="FFA0AC53B71549FB8ACE74E9CE10663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50" w:name="_Toc26986532"/>
          <w:bookmarkEnd w:id="50"/>
          <w:r>
            <w:t>本文件没有需要界定的术语和定义。</w:t>
          </w:r>
        </w:p>
      </w:sdtContent>
    </w:sdt>
    <w:p>
      <w:pPr>
        <w:pStyle w:val="104"/>
        <w:spacing w:before="312" w:after="312"/>
      </w:pPr>
      <w:bookmarkStart w:id="51" w:name="_Toc172369001"/>
      <w:bookmarkStart w:id="52" w:name="_Toc172369027"/>
      <w:r>
        <w:rPr>
          <w:rFonts w:hint="eastAsia"/>
        </w:rPr>
        <w:t>温室结构与性能</w:t>
      </w:r>
      <w:bookmarkEnd w:id="51"/>
      <w:bookmarkEnd w:id="52"/>
    </w:p>
    <w:p>
      <w:pPr>
        <w:pStyle w:val="56"/>
        <w:ind w:firstLine="420"/>
      </w:pPr>
      <w:r>
        <w:rPr>
          <w:rFonts w:hint="eastAsia"/>
        </w:rPr>
        <w:t>温室的结构和性能应符合JB/T 10594和DB14/T 1287的要求。</w:t>
      </w:r>
    </w:p>
    <w:p>
      <w:pPr>
        <w:pStyle w:val="104"/>
        <w:spacing w:before="312" w:after="312"/>
      </w:pPr>
      <w:bookmarkStart w:id="53" w:name="_Toc172369028"/>
      <w:bookmarkStart w:id="54" w:name="_Toc172369002"/>
      <w:r>
        <w:rPr>
          <w:rFonts w:hint="eastAsia"/>
        </w:rPr>
        <w:t>种苗</w:t>
      </w:r>
      <w:bookmarkEnd w:id="53"/>
      <w:bookmarkEnd w:id="54"/>
    </w:p>
    <w:p>
      <w:pPr>
        <w:pStyle w:val="105"/>
        <w:spacing w:before="156" w:after="156"/>
      </w:pPr>
      <w:bookmarkStart w:id="55" w:name="_Toc172369003"/>
      <w:r>
        <w:rPr>
          <w:rFonts w:hint="eastAsia"/>
        </w:rPr>
        <w:t>品种选择</w:t>
      </w:r>
      <w:bookmarkEnd w:id="55"/>
    </w:p>
    <w:p>
      <w:pPr>
        <w:pStyle w:val="56"/>
        <w:ind w:firstLine="420"/>
      </w:pPr>
      <w:r>
        <w:rPr>
          <w:rFonts w:hint="eastAsia"/>
        </w:rPr>
        <w:t>选用品种植株生长势旺盛，植株高大，苗期耐高温，易花芽分化，结果期耐低温弱光、休眠浅甚至不休眠，连续开花结果能力强，后期耐热、抗病，花芽分化早且花粉多，果实大小整齐、果型周正、商品性强、口感风味好，优质高产，品种纯度98%以上。</w:t>
      </w:r>
    </w:p>
    <w:p>
      <w:pPr>
        <w:pStyle w:val="105"/>
        <w:spacing w:before="156" w:after="156"/>
      </w:pPr>
      <w:bookmarkStart w:id="56" w:name="_Toc172369004"/>
      <w:r>
        <w:rPr>
          <w:rFonts w:hint="eastAsia"/>
        </w:rPr>
        <w:t>壮苗标准</w:t>
      </w:r>
      <w:bookmarkEnd w:id="56"/>
    </w:p>
    <w:p>
      <w:pPr>
        <w:pStyle w:val="56"/>
        <w:ind w:firstLine="420"/>
      </w:pPr>
      <w:r>
        <w:rPr>
          <w:rFonts w:hint="eastAsia"/>
        </w:rPr>
        <w:t>选择品种纯正的脱毒苗，植株矮壮，叶柄粗短，株高15 cm左右，具4</w:t>
      </w:r>
      <w:r>
        <w:rPr>
          <w:rFonts w:hint="eastAsia"/>
          <w:lang w:eastAsia="zh-CN"/>
        </w:rPr>
        <w:t>片</w:t>
      </w:r>
      <w:r>
        <w:rPr>
          <w:rFonts w:hint="eastAsia"/>
        </w:rPr>
        <w:t>～5片展开叶，叶片大而厚、叶色浓绿，中心芽饱满，新茎粗0.8 cm以上；根系发达，且完全包裹基质，不松散，根系白色或黄白色。出苗前进行花芽镜检，花芽分化率不低于80 %，无病虫害、无机械损伤，植株符合GB/Z 26575的要求。</w:t>
      </w:r>
    </w:p>
    <w:p>
      <w:pPr>
        <w:pStyle w:val="104"/>
        <w:spacing w:before="312" w:after="312"/>
      </w:pPr>
      <w:bookmarkStart w:id="57" w:name="_Toc172369005"/>
      <w:bookmarkStart w:id="58" w:name="_Toc172369029"/>
      <w:r>
        <w:rPr>
          <w:rFonts w:hint="eastAsia"/>
        </w:rPr>
        <w:t>整地施肥</w:t>
      </w:r>
      <w:bookmarkEnd w:id="57"/>
      <w:bookmarkEnd w:id="58"/>
    </w:p>
    <w:p>
      <w:pPr>
        <w:pStyle w:val="56"/>
        <w:ind w:firstLine="420"/>
      </w:pPr>
      <w:r>
        <w:rPr>
          <w:rFonts w:hint="eastAsia"/>
        </w:rPr>
        <w:t>定植当年夏季（6-8月份），清洁田园并使用土壤消毒剂进行高温闷棚，晴天天数不小于21 d，杀菌除虫。定植前7 d～10 d每667 m</w:t>
      </w:r>
      <w:r>
        <w:rPr>
          <w:rFonts w:hint="eastAsia"/>
          <w:vertAlign w:val="superscript"/>
        </w:rPr>
        <w:t>2</w:t>
      </w:r>
      <w:r>
        <w:rPr>
          <w:rFonts w:hint="eastAsia"/>
        </w:rPr>
        <w:t>施腐熟有机肥3 000 kg～5 000 kg、18-11-11或15-15-15复合肥30 kg，翻耕2～3次，深30 cm～40 cm，粪土混合均匀，耙平。高垄栽培，垄高30 cm～40 cm，垄面宽40 cm，垄底宽60 cm，作业道90 cm～100 cm。要求垄面平整，不可出现高低不平。距高垄两边各10 cm处铺设2条滴灌带。滴灌设备符合GB/T 17187中的要求。</w:t>
      </w:r>
    </w:p>
    <w:p>
      <w:pPr>
        <w:pStyle w:val="104"/>
        <w:spacing w:before="312" w:after="312"/>
      </w:pPr>
      <w:bookmarkStart w:id="59" w:name="_Toc172369030"/>
      <w:bookmarkStart w:id="60" w:name="_Toc172369006"/>
      <w:r>
        <w:rPr>
          <w:rFonts w:hint="eastAsia"/>
        </w:rPr>
        <w:t>定植</w:t>
      </w:r>
      <w:bookmarkEnd w:id="59"/>
      <w:bookmarkEnd w:id="60"/>
    </w:p>
    <w:p>
      <w:pPr>
        <w:pStyle w:val="105"/>
        <w:spacing w:before="156" w:after="156"/>
      </w:pPr>
      <w:bookmarkStart w:id="61" w:name="_Toc172369007"/>
      <w:r>
        <w:rPr>
          <w:rFonts w:hint="eastAsia"/>
        </w:rPr>
        <w:t>定植时间</w:t>
      </w:r>
      <w:bookmarkEnd w:id="61"/>
    </w:p>
    <w:p>
      <w:pPr>
        <w:pStyle w:val="56"/>
        <w:ind w:firstLine="420"/>
      </w:pPr>
      <w:r>
        <w:rPr>
          <w:rFonts w:hint="eastAsia"/>
        </w:rPr>
        <w:t>8月下旬到9月上旬进行。</w:t>
      </w:r>
    </w:p>
    <w:p>
      <w:pPr>
        <w:pStyle w:val="105"/>
        <w:spacing w:before="156" w:after="156"/>
      </w:pPr>
      <w:bookmarkStart w:id="62" w:name="_Toc172369008"/>
      <w:r>
        <w:rPr>
          <w:rFonts w:hint="eastAsia"/>
        </w:rPr>
        <w:t>定植密度</w:t>
      </w:r>
      <w:bookmarkEnd w:id="62"/>
    </w:p>
    <w:p>
      <w:pPr>
        <w:pStyle w:val="56"/>
        <w:ind w:firstLine="420"/>
      </w:pPr>
      <w:r>
        <w:rPr>
          <w:rFonts w:hint="eastAsia"/>
        </w:rPr>
        <w:t>距畦边10 cm定植，株距18 cm左右，每667 m</w:t>
      </w:r>
      <w:r>
        <w:rPr>
          <w:rFonts w:hint="eastAsia"/>
          <w:vertAlign w:val="superscript"/>
        </w:rPr>
        <w:t>2</w:t>
      </w:r>
      <w:r>
        <w:rPr>
          <w:rFonts w:hint="eastAsia"/>
        </w:rPr>
        <w:t>定植6 000～8 000株。</w:t>
      </w:r>
    </w:p>
    <w:p>
      <w:pPr>
        <w:pStyle w:val="105"/>
        <w:spacing w:before="156" w:after="156"/>
      </w:pPr>
      <w:bookmarkStart w:id="63" w:name="_Toc172369009"/>
      <w:r>
        <w:rPr>
          <w:rFonts w:hint="eastAsia"/>
        </w:rPr>
        <w:t>定植方法</w:t>
      </w:r>
      <w:bookmarkEnd w:id="63"/>
    </w:p>
    <w:p>
      <w:pPr>
        <w:pStyle w:val="56"/>
        <w:ind w:firstLine="420"/>
      </w:pPr>
      <w:r>
        <w:rPr>
          <w:rFonts w:hint="eastAsia"/>
        </w:rPr>
        <w:t>分别采用50 %多菌灵可湿性粉剂800倍液和25 %阿米西达1 500倍液，对种苗进行蘸根或浸泡3 min～5 min，避开太阳暴晒，双行丁字形交错定植，植株弓背朝外，深不埋心、浅不露根。浇定植水，定植水浇至饱和状态，并在定植后一周内每日促浇小水保证根际水分充足，进新根萌发。</w:t>
      </w:r>
    </w:p>
    <w:p>
      <w:pPr>
        <w:pStyle w:val="104"/>
        <w:spacing w:before="312" w:after="312"/>
      </w:pPr>
      <w:bookmarkStart w:id="64" w:name="_Toc172369010"/>
      <w:bookmarkStart w:id="65" w:name="_Toc172369031"/>
      <w:r>
        <w:rPr>
          <w:rFonts w:hint="eastAsia"/>
        </w:rPr>
        <w:t>田间管理</w:t>
      </w:r>
      <w:bookmarkEnd w:id="64"/>
      <w:bookmarkEnd w:id="65"/>
    </w:p>
    <w:p>
      <w:pPr>
        <w:pStyle w:val="105"/>
        <w:spacing w:before="156" w:after="156"/>
      </w:pPr>
      <w:bookmarkStart w:id="66" w:name="_Toc172369011"/>
      <w:r>
        <w:rPr>
          <w:rFonts w:hint="eastAsia"/>
        </w:rPr>
        <w:t>温度管理</w:t>
      </w:r>
      <w:bookmarkEnd w:id="66"/>
    </w:p>
    <w:p>
      <w:pPr>
        <w:pStyle w:val="56"/>
        <w:ind w:firstLine="420"/>
      </w:pPr>
      <w:r>
        <w:rPr>
          <w:rFonts w:hint="eastAsia"/>
        </w:rPr>
        <w:t xml:space="preserve">定植后遮阳保温，现蕾前日温15 ℃～25 ℃，夜温10 ℃～15 ℃，中午25℃时适当放风，15℃时关风口，夜间10 ℃～15 ℃，最低不低于8 ℃。结果初期日温26 ℃～28 ℃，夜温5 ℃～8 ℃，晚揭早盖保温被。结果中期日温20 ℃～28 ℃，夜温5 ℃左右。结果后期日温最高温不超过32 ℃，进入五月份及时对温室进行降温处理，采取喷施立凉和屋面涂白等方法进行棚室降温。   </w:t>
      </w:r>
    </w:p>
    <w:p>
      <w:pPr>
        <w:pStyle w:val="105"/>
        <w:spacing w:before="156" w:after="156"/>
      </w:pPr>
      <w:bookmarkStart w:id="67" w:name="_Toc172369012"/>
      <w:r>
        <w:rPr>
          <w:rFonts w:hint="eastAsia"/>
        </w:rPr>
        <w:t>光照调控</w:t>
      </w:r>
      <w:bookmarkEnd w:id="67"/>
    </w:p>
    <w:p>
      <w:pPr>
        <w:pStyle w:val="56"/>
        <w:ind w:firstLine="420"/>
      </w:pPr>
      <w:r>
        <w:rPr>
          <w:rFonts w:hint="eastAsia"/>
        </w:rPr>
        <w:t>使用透光性好的无滴膜覆盖，保持膜面清洁，可在日光温室后墙上垂直悬挂0.5 m～1.0 m反光幕，室内直射光平均透光率不低于65%。花芽分化期10 h～12 h短日照，开花结果期和旺盛生长期日照为12 h～15 h，光照强度不低于6 000 lx。</w:t>
      </w:r>
    </w:p>
    <w:p>
      <w:pPr>
        <w:pStyle w:val="105"/>
        <w:spacing w:before="156" w:after="156"/>
      </w:pPr>
      <w:bookmarkStart w:id="68" w:name="_Toc172369013"/>
      <w:r>
        <w:rPr>
          <w:rFonts w:hint="eastAsia"/>
        </w:rPr>
        <w:t>湿度调节</w:t>
      </w:r>
      <w:bookmarkEnd w:id="68"/>
    </w:p>
    <w:p>
      <w:pPr>
        <w:pStyle w:val="56"/>
        <w:ind w:firstLine="420"/>
      </w:pPr>
      <w:r>
        <w:rPr>
          <w:rFonts w:hint="eastAsia"/>
        </w:rPr>
        <w:t>通过地膜覆盖、膜下滴灌、通风排湿、温度调控等措施控制缓苗期空气相对湿度为80%～85%，开花坐果期为60%左右。</w:t>
      </w:r>
    </w:p>
    <w:p>
      <w:pPr>
        <w:pStyle w:val="105"/>
        <w:spacing w:before="156" w:after="156"/>
      </w:pPr>
      <w:bookmarkStart w:id="69" w:name="_Toc172369014"/>
      <w:r>
        <w:rPr>
          <w:rFonts w:hint="eastAsia"/>
        </w:rPr>
        <w:t>水肥管理</w:t>
      </w:r>
      <w:bookmarkEnd w:id="69"/>
    </w:p>
    <w:p>
      <w:pPr>
        <w:pStyle w:val="56"/>
        <w:ind w:firstLine="420"/>
      </w:pPr>
      <w:r>
        <w:rPr>
          <w:rFonts w:hint="eastAsia"/>
        </w:rPr>
        <w:t>土壤田间持水量保持在60%左右，3 d～5 d浇一次水，冬季选择在晴天上午进行，春夏选择在早晚进行。定植20 d左右开始施用水溶性有机肥，促进新根萌发，随水冲施，每亩冲施2 Kg-3 Kg,与复合肥（10-30-18）交替使用。幼苗新叶萌发4</w:t>
      </w:r>
      <w:r>
        <w:rPr>
          <w:rFonts w:hint="eastAsia"/>
          <w:lang w:eastAsia="zh-CN"/>
        </w:rPr>
        <w:t>片</w:t>
      </w:r>
      <w:r>
        <w:rPr>
          <w:rFonts w:hint="eastAsia"/>
        </w:rPr>
        <w:t>～5片时，改用有机肥与复合肥（18-18-18）交替使用，促进花枝伸长，提早开花。开花结果期使用需肥量增加，使用2.5 kg有机肥配合均衡肥（18-18-18）和高钾肥（16-6-30）交替使用，随水施用。</w:t>
      </w:r>
    </w:p>
    <w:p>
      <w:pPr>
        <w:pStyle w:val="56"/>
        <w:ind w:firstLine="420"/>
      </w:pPr>
      <w:r>
        <w:rPr>
          <w:rFonts w:hint="eastAsia"/>
        </w:rPr>
        <w:t>未进行花芽分化的种苗要进行断氮处理，即定植后25 d不使用任何肥料，促进花芽分化，25天后施肥方法同上。</w:t>
      </w:r>
    </w:p>
    <w:p>
      <w:pPr>
        <w:pStyle w:val="105"/>
        <w:spacing w:before="156" w:after="156"/>
      </w:pPr>
      <w:bookmarkStart w:id="70" w:name="_Toc172369015"/>
      <w:r>
        <w:rPr>
          <w:rFonts w:hint="eastAsia"/>
        </w:rPr>
        <w:t>植株调整</w:t>
      </w:r>
      <w:bookmarkEnd w:id="70"/>
    </w:p>
    <w:p>
      <w:pPr>
        <w:pStyle w:val="65"/>
        <w:spacing w:before="156" w:after="156"/>
      </w:pPr>
      <w:r>
        <w:rPr>
          <w:rFonts w:hint="eastAsia"/>
        </w:rPr>
        <w:t>疏花疏果</w:t>
      </w:r>
    </w:p>
    <w:p>
      <w:pPr>
        <w:pStyle w:val="56"/>
        <w:ind w:firstLine="420"/>
      </w:pPr>
      <w:r>
        <w:rPr>
          <w:rFonts w:hint="eastAsia"/>
        </w:rPr>
        <w:t>在开花后20 d，第三个花序坐果完成后开始进行疏花疏果。每个花序保留5朵～6朵，保留一级花顶果及二级花的次顶果。每株留2个～3个侧花序，最好包含一个结果花序、一个开花花序和一个刚顶出的花序。疏去同一花序中的次花、小花、弱花。疏除病果、虫果、畸形果以及过早变白的小果，摘除老叶、病叶和残余果柄。</w:t>
      </w:r>
    </w:p>
    <w:p>
      <w:pPr>
        <w:pStyle w:val="65"/>
        <w:spacing w:before="156" w:after="156"/>
      </w:pPr>
      <w:r>
        <w:rPr>
          <w:rFonts w:hint="eastAsia"/>
        </w:rPr>
        <w:t>授粉</w:t>
      </w:r>
    </w:p>
    <w:p>
      <w:pPr>
        <w:pStyle w:val="56"/>
        <w:ind w:firstLine="420"/>
      </w:pPr>
      <w:r>
        <w:rPr>
          <w:rFonts w:hint="eastAsia"/>
        </w:rPr>
        <w:t>采用熊蜂或蜜蜂授粉，每667 m</w:t>
      </w:r>
      <w:r>
        <w:rPr>
          <w:rFonts w:hint="eastAsia"/>
          <w:vertAlign w:val="superscript"/>
        </w:rPr>
        <w:t xml:space="preserve">2 </w:t>
      </w:r>
      <w:r>
        <w:rPr>
          <w:rFonts w:hint="eastAsia"/>
        </w:rPr>
        <w:t>蜜蜂5 000只～6 000只，或熊蜂70只～80只。</w:t>
      </w:r>
    </w:p>
    <w:p>
      <w:pPr>
        <w:pStyle w:val="104"/>
        <w:spacing w:before="312" w:after="312"/>
      </w:pPr>
      <w:bookmarkStart w:id="71" w:name="_Toc172369032"/>
      <w:bookmarkStart w:id="72" w:name="_Toc172369016"/>
      <w:r>
        <w:rPr>
          <w:rFonts w:hint="eastAsia"/>
        </w:rPr>
        <w:t>二氧化碳施肥</w:t>
      </w:r>
      <w:bookmarkEnd w:id="71"/>
      <w:bookmarkEnd w:id="72"/>
    </w:p>
    <w:p>
      <w:pPr>
        <w:pStyle w:val="105"/>
        <w:spacing w:before="156" w:after="156"/>
      </w:pPr>
      <w:bookmarkStart w:id="73" w:name="_Toc172369017"/>
      <w:r>
        <w:rPr>
          <w:rFonts w:hint="eastAsia"/>
        </w:rPr>
        <w:t>施肥浓度</w:t>
      </w:r>
      <w:bookmarkEnd w:id="73"/>
    </w:p>
    <w:p>
      <w:pPr>
        <w:pStyle w:val="56"/>
        <w:ind w:firstLine="420"/>
      </w:pPr>
      <w:r>
        <w:rPr>
          <w:rFonts w:hint="eastAsia"/>
        </w:rPr>
        <w:t>缓苗后及生长后期，室内CO</w:t>
      </w:r>
      <w:r>
        <w:rPr>
          <w:rFonts w:hint="eastAsia"/>
          <w:vertAlign w:val="subscript"/>
        </w:rPr>
        <w:t>2</w:t>
      </w:r>
      <w:r>
        <w:rPr>
          <w:rFonts w:hint="eastAsia"/>
        </w:rPr>
        <w:t>浓度控制在600 ppm 左右，开花结果期控制在600 ppm～800 ppm。</w:t>
      </w:r>
    </w:p>
    <w:p>
      <w:pPr>
        <w:pStyle w:val="105"/>
        <w:spacing w:before="156" w:after="156"/>
      </w:pPr>
      <w:bookmarkStart w:id="74" w:name="_Toc172369018"/>
      <w:r>
        <w:rPr>
          <w:rFonts w:hint="eastAsia"/>
        </w:rPr>
        <w:t>施肥时间</w:t>
      </w:r>
      <w:bookmarkEnd w:id="74"/>
    </w:p>
    <w:p>
      <w:pPr>
        <w:pStyle w:val="56"/>
        <w:ind w:firstLine="420"/>
      </w:pPr>
      <w:r>
        <w:rPr>
          <w:rFonts w:hint="eastAsia"/>
        </w:rPr>
        <w:t>冬季温室保温后开始施用，晴天上午连续释放1.5 h，晴天提早施放，阴天推迟施放，雨雪天不施放。上午室内温度达32 ℃以上时，适当打开顶风口，温室大通风前0.5 h停止施用。</w:t>
      </w:r>
    </w:p>
    <w:p>
      <w:pPr>
        <w:pStyle w:val="105"/>
        <w:spacing w:before="156" w:after="156"/>
      </w:pPr>
      <w:bookmarkStart w:id="75" w:name="_Toc172369019"/>
      <w:r>
        <w:rPr>
          <w:rFonts w:hint="eastAsia"/>
        </w:rPr>
        <w:t>施肥方法</w:t>
      </w:r>
      <w:bookmarkEnd w:id="75"/>
    </w:p>
    <w:p>
      <w:pPr>
        <w:pStyle w:val="56"/>
        <w:ind w:firstLine="420"/>
      </w:pPr>
      <w:r>
        <w:rPr>
          <w:rFonts w:hint="eastAsia"/>
        </w:rPr>
        <w:t>CO</w:t>
      </w:r>
      <w:r>
        <w:rPr>
          <w:rFonts w:hint="eastAsia"/>
          <w:vertAlign w:val="subscript"/>
        </w:rPr>
        <w:t>2</w:t>
      </w:r>
      <w:r>
        <w:rPr>
          <w:rFonts w:hint="eastAsia"/>
        </w:rPr>
        <w:t xml:space="preserve">施肥以钢瓶释放法和商品气肥法为主。具体执行应符合DB14/T 1295规定。 </w:t>
      </w:r>
    </w:p>
    <w:p>
      <w:pPr>
        <w:pStyle w:val="104"/>
        <w:spacing w:before="312" w:after="312"/>
      </w:pPr>
      <w:bookmarkStart w:id="76" w:name="_Toc172369020"/>
      <w:bookmarkStart w:id="77" w:name="_Toc172369033"/>
      <w:r>
        <w:rPr>
          <w:rFonts w:hint="eastAsia"/>
        </w:rPr>
        <w:t>病虫害防治</w:t>
      </w:r>
      <w:bookmarkEnd w:id="76"/>
      <w:bookmarkEnd w:id="77"/>
    </w:p>
    <w:p>
      <w:pPr>
        <w:pStyle w:val="56"/>
        <w:ind w:firstLine="420"/>
      </w:pPr>
      <w:r>
        <w:rPr>
          <w:rFonts w:hint="eastAsia"/>
        </w:rPr>
        <w:t>具体防治措施执行GB/Z 26575规定。</w:t>
      </w:r>
    </w:p>
    <w:p>
      <w:pPr>
        <w:pStyle w:val="104"/>
        <w:spacing w:before="312" w:after="312"/>
      </w:pPr>
      <w:bookmarkStart w:id="78" w:name="_Toc172369021"/>
      <w:bookmarkStart w:id="79" w:name="_Toc172369034"/>
      <w:r>
        <w:rPr>
          <w:rFonts w:hint="eastAsia"/>
        </w:rPr>
        <w:t>采收</w:t>
      </w:r>
      <w:bookmarkEnd w:id="78"/>
      <w:bookmarkEnd w:id="79"/>
      <w:r>
        <w:rPr>
          <w:rFonts w:hint="eastAsia"/>
        </w:rPr>
        <w:t xml:space="preserve"> </w:t>
      </w:r>
    </w:p>
    <w:p>
      <w:pPr>
        <w:pStyle w:val="56"/>
        <w:ind w:firstLine="420"/>
      </w:pPr>
      <w:r>
        <w:rPr>
          <w:rFonts w:hint="eastAsia"/>
        </w:rPr>
        <w:t>草莓果实表面着色达70</w:t>
      </w:r>
      <w:bookmarkStart w:id="83" w:name="_GoBack"/>
      <w:bookmarkEnd w:id="83"/>
      <w:r>
        <w:rPr>
          <w:rFonts w:hint="eastAsia"/>
        </w:rPr>
        <w:t>%以上即可采收，采收果实要求果柄短，不损伤花萼，轻摘缓放，减少机械损伤。</w:t>
      </w:r>
    </w:p>
    <w:p>
      <w:pPr>
        <w:pStyle w:val="104"/>
        <w:spacing w:before="312" w:after="312"/>
      </w:pPr>
      <w:bookmarkStart w:id="80" w:name="_Toc172369035"/>
      <w:bookmarkStart w:id="81" w:name="_Toc172369022"/>
      <w:r>
        <w:rPr>
          <w:rFonts w:hint="eastAsia"/>
        </w:rPr>
        <w:t>生产档案</w:t>
      </w:r>
      <w:bookmarkEnd w:id="80"/>
      <w:bookmarkEnd w:id="81"/>
    </w:p>
    <w:p>
      <w:pPr>
        <w:pStyle w:val="56"/>
        <w:ind w:firstLine="420"/>
      </w:pPr>
      <w:r>
        <w:rPr>
          <w:rFonts w:hint="eastAsia"/>
        </w:rPr>
        <w:t>建立生产档案。对田间管理、温室环境、二氧化碳施肥、病虫害防治和采收等环节进行详细记录。档案保存3年以上。</w:t>
      </w:r>
    </w:p>
    <w:bookmarkEnd w:id="23"/>
    <w:p>
      <w:pPr>
        <w:pStyle w:val="56"/>
        <w:ind w:firstLine="0" w:firstLineChars="0"/>
        <w:jc w:val="center"/>
      </w:pPr>
      <w:bookmarkStart w:id="82"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5"/>
                    <a:stretch>
                      <a:fillRect/>
                    </a:stretch>
                  </pic:blipFill>
                  <pic:spPr>
                    <a:xfrm>
                      <a:off x="0" y="0"/>
                      <a:ext cx="1485900" cy="317500"/>
                    </a:xfrm>
                    <a:prstGeom prst="rect">
                      <a:avLst/>
                    </a:prstGeom>
                  </pic:spPr>
                </pic:pic>
              </a:graphicData>
            </a:graphic>
          </wp:inline>
        </w:drawing>
      </w:r>
      <w:bookmarkEnd w:id="82"/>
    </w:p>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Arial">
    <w:altName w:val="DejaVu Sans"/>
    <w:panose1 w:val="020B0604020202020204"/>
    <w:charset w:val="00"/>
    <w:family w:val="swiss"/>
    <w:pitch w:val="default"/>
    <w:sig w:usb0="00000000" w:usb1="00000000" w:usb2="00000009" w:usb3="00000000" w:csb0="000001FF" w:csb1="00000000"/>
  </w:font>
  <w:font w:name="等线">
    <w:altName w:val="文泉驿微米黑"/>
    <w:panose1 w:val="00000000000000000000"/>
    <w:charset w:val="86"/>
    <w:family w:val="auto"/>
    <w:pitch w:val="default"/>
    <w:sig w:usb0="00000000" w:usb1="00000000" w:usb2="00000016" w:usb3="00000000" w:csb0="0004000F" w:csb1="00000000"/>
  </w:font>
  <w:font w:name="等线 Light">
    <w:altName w:val="文泉驿微米黑"/>
    <w:panose1 w:val="00000000000000000000"/>
    <w:charset w:val="86"/>
    <w:family w:val="auto"/>
    <w:pitch w:val="default"/>
    <w:sig w:usb0="00000000" w:usb1="00000000" w:usb2="00000016" w:usb3="00000000" w:csb0="0004000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等线">
    <w:altName w:val="文泉驿微米黑"/>
    <w:panose1 w:val="00000000000000000000"/>
    <w:charset w:val="00"/>
    <w:family w:val="auto"/>
    <w:pitch w:val="default"/>
    <w:sig w:usb0="00000000" w:usb1="00000000" w:usb2="00000000" w:usb3="00000000" w:csb0="00000000" w:csb1="00000000"/>
  </w:font>
  <w:font w:name="文泉驿微米黑">
    <w:panose1 w:val="020B0606030804020204"/>
    <w:charset w:val="86"/>
    <w:family w:val="auto"/>
    <w:pitch w:val="default"/>
    <w:sig w:usb0="E10002EF" w:usb1="6BDFFCFB" w:usb2="00800036" w:usb3="00000000" w:csb0="603E019F" w:csb1="DFD70000"/>
  </w:font>
  <w:font w:name="Noto Sans CJK JP Bold">
    <w:panose1 w:val="020B0800000000000000"/>
    <w:charset w:val="86"/>
    <w:family w:val="auto"/>
    <w:pitch w:val="default"/>
    <w:sig w:usb0="30000003" w:usb1="2BDF3C10" w:usb2="00000016" w:usb3="00000000" w:csb0="602E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3</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DB14/T 1554—2024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DB14/T 1554—2024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DB14/T 1554—2024</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DB14/T 1554—2024</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DB14/T 1554—2024</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DB14/T 1554—2024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true"/>
  <w:bordersDoNotSurroundFooter w:val="true"/>
  <w:attachedTemplate r:id="rId1"/>
  <w:documentProtection w:edit="forms" w:enforcement="1" w:cryptProviderType="rsaAES" w:cryptAlgorithmClass="hash" w:cryptAlgorithmType="typeAny" w:cryptAlgorithmSid="14" w:cryptSpinCount="100000" w:hash="RdWoYYiGDrywrkpyCEFOR9Zh3oQyB1h96KjMtqINWnOQuuEiHaZ97UndLvMHb1LwTM4e/A3pETY8ByZsNYcmGw==" w:salt="+1RE4Kp/eTG2YN0HcnZSLQ=="/>
  <w:defaultTabStop w:val="420"/>
  <w:evenAndOddHeaders w:val="true"/>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098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0D3A"/>
    <w:rsid w:val="000515DD"/>
    <w:rsid w:val="0005265A"/>
    <w:rsid w:val="000539DD"/>
    <w:rsid w:val="00053BD3"/>
    <w:rsid w:val="000556ED"/>
    <w:rsid w:val="00055FE2"/>
    <w:rsid w:val="0005616F"/>
    <w:rsid w:val="000575F6"/>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0449"/>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B7F6C"/>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2D81"/>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98B"/>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DF781E"/>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4FFF50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vAnchor="page" w:hAnchor="page" w:x="1419" w:y="14097"/>
    </w:pPr>
  </w:style>
  <w:style w:type="paragraph" w:customStyle="1" w:styleId="194">
    <w:name w:val="其他实施日期"/>
    <w:basedOn w:val="154"/>
    <w:qFormat/>
    <w:uiPriority w:val="0"/>
    <w:pPr>
      <w:framePr w:w="3997" w:h="471" w:hRule="exact" w:vSpace="181"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9" Type="http://schemas.openxmlformats.org/officeDocument/2006/relationships/glossaryDocument" Target="glossary/document.xml"/><Relationship Id="rId28" Type="http://schemas.openxmlformats.org/officeDocument/2006/relationships/fontTable" Target="fontTable.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1.jpeg"/><Relationship Id="rId24" Type="http://schemas.openxmlformats.org/officeDocument/2006/relationships/image" Target="media/image1.tiff"/><Relationship Id="rId23" Type="http://schemas.openxmlformats.org/officeDocument/2006/relationships/theme" Target="theme/theme1.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baixin/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26F58ED180D4E31877AE923D895B08F"/>
        <w:style w:val=""/>
        <w:category>
          <w:name w:val="常规"/>
          <w:gallery w:val="placeholder"/>
        </w:category>
        <w:types>
          <w:type w:val="bbPlcHdr"/>
        </w:types>
        <w:behaviors>
          <w:behavior w:val="content"/>
        </w:behaviors>
        <w:description w:val=""/>
        <w:guid w:val="{D76D6EE1-55C6-4AA0-9433-A75F70C87630}"/>
      </w:docPartPr>
      <w:docPartBody>
        <w:p>
          <w:pPr>
            <w:pStyle w:val="5"/>
          </w:pPr>
          <w:r>
            <w:rPr>
              <w:rStyle w:val="4"/>
              <w:rFonts w:hint="eastAsia"/>
            </w:rPr>
            <w:t>单击或点击此处输入文字。</w:t>
          </w:r>
        </w:p>
      </w:docPartBody>
    </w:docPart>
    <w:docPart>
      <w:docPartPr>
        <w:name w:val="D9E36AFA1AF1448BBEFBFD0CF10D9F9D"/>
        <w:style w:val=""/>
        <w:category>
          <w:name w:val="常规"/>
          <w:gallery w:val="placeholder"/>
        </w:category>
        <w:types>
          <w:type w:val="bbPlcHdr"/>
        </w:types>
        <w:behaviors>
          <w:behavior w:val="content"/>
        </w:behaviors>
        <w:description w:val=""/>
        <w:guid w:val="{3AA6F3E8-951B-4E43-BD58-903635524327}"/>
      </w:docPartPr>
      <w:docPartBody>
        <w:p>
          <w:pPr>
            <w:pStyle w:val="6"/>
          </w:pPr>
          <w:r>
            <w:rPr>
              <w:rStyle w:val="4"/>
              <w:rFonts w:hint="eastAsia"/>
            </w:rPr>
            <w:t>选择一项。</w:t>
          </w:r>
        </w:p>
      </w:docPartBody>
    </w:docPart>
    <w:docPart>
      <w:docPartPr>
        <w:name w:val="FFA0AC53B71549FB8ACE74E9CE106631"/>
        <w:style w:val=""/>
        <w:category>
          <w:name w:val="常规"/>
          <w:gallery w:val="placeholder"/>
        </w:category>
        <w:types>
          <w:type w:val="bbPlcHdr"/>
        </w:types>
        <w:behaviors>
          <w:behavior w:val="content"/>
        </w:behaviors>
        <w:description w:val=""/>
        <w:guid w:val="{C59F3FE5-D50F-4FDE-A258-1D44EA574E25}"/>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文泉驿微米黑"/>
    <w:panose1 w:val="00000000000000000000"/>
    <w:charset w:val="86"/>
    <w:family w:val="auto"/>
    <w:pitch w:val="default"/>
    <w:sig w:usb0="00000000" w:usb1="00000000" w:usb2="00000016" w:usb3="00000000" w:csb0="0004000F" w:csb1="00000000"/>
  </w:font>
  <w:font w:name="等线">
    <w:altName w:val="文泉驿微米黑"/>
    <w:panose1 w:val="00000000000000000000"/>
    <w:charset w:val="86"/>
    <w:family w:val="auto"/>
    <w:pitch w:val="default"/>
    <w:sig w:usb0="00000000" w:usb1="00000000" w:usb2="00000000" w:usb3="00000000" w:csb0="00000000" w:csb1="00000000"/>
  </w:font>
  <w:font w:name="等线">
    <w:altName w:val="文泉驿微米黑"/>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true"/>
  <w:bordersDoNotSurroundFooter w:val="true"/>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3409"/>
    <w:rsid w:val="00350E4E"/>
    <w:rsid w:val="0063023B"/>
    <w:rsid w:val="00B73409"/>
    <w:rsid w:val="00FE34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C26F58ED180D4E31877AE923D895B08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D9E36AFA1AF1448BBEFBFD0CF10D9F9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FFA0AC53B71549FB8ACE74E9CE106631"/>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Pages>
  <Words>665</Words>
  <Characters>3791</Characters>
  <Lines>31</Lines>
  <Paragraphs>8</Paragraphs>
  <TotalTime>20</TotalTime>
  <ScaleCrop>false</ScaleCrop>
  <LinksUpToDate>false</LinksUpToDate>
  <CharactersWithSpaces>4448</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2024-07-20T11:40:00Z</dcterms:created>
  <dc:creator>Microsoft</dc:creator>
  <dc:description>&lt;config cover="true" show_menu="true" version="1.0.0" doctype="SDKXY"&gt;_x000d_
&lt;/config&gt;</dc:description>
  <cp:lastModifiedBy>baixin</cp:lastModifiedBy>
  <cp:lastPrinted>2020-08-30T18:00:00Z</cp:lastPrinted>
  <dcterms:modified xsi:type="dcterms:W3CDTF">2024-08-07T11:27:22Z</dcterms:modified>
  <dc:title>地方标准</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2052-11.8.2.10290</vt:lpwstr>
  </property>
</Properties>
</file>